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数计院字〔201</w:t>
      </w:r>
      <w:r>
        <w:rPr>
          <w:rFonts w:hint="eastAsia" w:ascii="仿宋_GB2312" w:hAnsi="宋体" w:eastAsia="仿宋_GB2312"/>
          <w:bCs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〕</w:t>
      </w:r>
      <w:bookmarkStart w:id="3" w:name="_GoBack"/>
      <w:bookmarkEnd w:id="3"/>
      <w:r>
        <w:rPr>
          <w:rFonts w:hint="eastAsia" w:ascii="仿宋_GB2312" w:hAnsi="宋体" w:eastAsia="仿宋_GB2312"/>
          <w:bCs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号</w:t>
      </w:r>
      <w:bookmarkStart w:id="0" w:name="文件标题"/>
      <w:bookmarkEnd w:id="0"/>
      <w:bookmarkStart w:id="1" w:name="主送单位"/>
      <w:bookmarkEnd w:id="1"/>
      <w:bookmarkStart w:id="2" w:name="正文"/>
      <w:bookmarkEnd w:id="2"/>
    </w:p>
    <w:p>
      <w:pPr>
        <w:spacing w:line="400" w:lineRule="exact"/>
        <w:jc w:val="center"/>
        <w:rPr>
          <w:rFonts w:hint="eastAsia" w:ascii="宋体" w:hAnsi="宋体"/>
          <w:sz w:val="36"/>
          <w:szCs w:val="36"/>
        </w:rPr>
      </w:pPr>
    </w:p>
    <w:p>
      <w:pPr>
        <w:spacing w:line="400" w:lineRule="exact"/>
        <w:jc w:val="center"/>
        <w:rPr>
          <w:rFonts w:hint="eastAsia" w:ascii="宋体" w:hAnsi="宋体"/>
          <w:sz w:val="36"/>
          <w:szCs w:val="36"/>
        </w:rPr>
      </w:pPr>
    </w:p>
    <w:p>
      <w:pPr>
        <w:spacing w:line="400" w:lineRule="exact"/>
        <w:jc w:val="both"/>
        <w:rPr>
          <w:rFonts w:hint="eastAsia" w:ascii="宋体" w:hAnsi="宋体"/>
          <w:sz w:val="36"/>
          <w:szCs w:val="36"/>
        </w:rPr>
      </w:pPr>
    </w:p>
    <w:p>
      <w:pPr>
        <w:spacing w:line="400" w:lineRule="exac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关于</w:t>
      </w:r>
      <w:r>
        <w:rPr>
          <w:rFonts w:ascii="宋体" w:hAnsi="宋体"/>
          <w:sz w:val="36"/>
          <w:szCs w:val="36"/>
        </w:rPr>
        <w:t>20</w:t>
      </w:r>
      <w:r>
        <w:rPr>
          <w:rFonts w:hint="eastAsia" w:ascii="宋体" w:hAnsi="宋体"/>
          <w:sz w:val="36"/>
          <w:szCs w:val="36"/>
          <w:lang w:val="en-US" w:eastAsia="zh-CN"/>
        </w:rPr>
        <w:t>19</w:t>
      </w:r>
      <w:r>
        <w:rPr>
          <w:rFonts w:hint="eastAsia" w:ascii="宋体" w:hAnsi="宋体"/>
          <w:sz w:val="36"/>
          <w:szCs w:val="36"/>
        </w:rPr>
        <w:t>年度本科教学新秀奖评选的表彰决定</w:t>
      </w:r>
    </w:p>
    <w:p>
      <w:pPr>
        <w:spacing w:line="40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各单位：</w:t>
      </w: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我院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年度本科教学新秀奖评选活动已圆满结束，经教学竞赛专家组评定、教学竞赛领导组研究，提请学院党政联席会通过，决定授予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傅瑞瑜</w:t>
      </w:r>
      <w:r>
        <w:rPr>
          <w:rFonts w:hint="eastAsia" w:ascii="仿宋" w:hAnsi="仿宋" w:eastAsia="仿宋"/>
          <w:color w:val="000000"/>
          <w:sz w:val="32"/>
          <w:szCs w:val="32"/>
        </w:rPr>
        <w:t>等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/>
          <w:sz w:val="32"/>
          <w:szCs w:val="32"/>
        </w:rPr>
        <w:t>人“</w:t>
      </w:r>
      <w:r>
        <w:rPr>
          <w:rFonts w:hint="eastAsia" w:ascii="仿宋" w:hAnsi="仿宋" w:eastAsia="仿宋"/>
          <w:color w:val="000000"/>
          <w:sz w:val="32"/>
          <w:szCs w:val="32"/>
        </w:rPr>
        <w:t>数计学院教学新秀奖</w:t>
      </w:r>
      <w:r>
        <w:rPr>
          <w:rFonts w:hint="eastAsia" w:ascii="仿宋" w:hAnsi="仿宋" w:eastAsia="仿宋"/>
          <w:sz w:val="32"/>
          <w:szCs w:val="32"/>
        </w:rPr>
        <w:t>”称号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，现将名单公布如下：</w:t>
      </w:r>
    </w:p>
    <w:p>
      <w:pPr>
        <w:spacing w:line="400" w:lineRule="exact"/>
        <w:ind w:firstLine="643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一等奖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傅瑞瑜、顾培婷</w:t>
      </w:r>
    </w:p>
    <w:p>
      <w:pPr>
        <w:spacing w:line="400" w:lineRule="exact"/>
        <w:ind w:firstLine="643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二等奖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张小玲、</w:t>
      </w:r>
      <w:r>
        <w:rPr>
          <w:rFonts w:hint="eastAsia" w:ascii="仿宋" w:hAnsi="仿宋" w:eastAsia="仿宋"/>
          <w:sz w:val="32"/>
          <w:szCs w:val="32"/>
        </w:rPr>
        <w:t>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赟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李树立、曾  蔚</w:t>
      </w:r>
    </w:p>
    <w:p>
      <w:pPr>
        <w:spacing w:line="400" w:lineRule="exact"/>
        <w:ind w:left="1923" w:leftChars="304" w:hanging="1285" w:hangingChars="4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优秀奖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：庄世芳、林珊华、林  捷、石擎天、陈玉思、陈育明、郑峰松、戴端旭、刘建明、赵福生</w:t>
      </w:r>
    </w:p>
    <w:p>
      <w:pPr>
        <w:widowControl/>
        <w:spacing w:line="44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idowControl/>
        <w:spacing w:line="4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并推荐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傅瑞瑜、顾培婷</w:t>
      </w: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位</w:t>
      </w:r>
      <w:r>
        <w:rPr>
          <w:rFonts w:hint="eastAsia" w:ascii="仿宋" w:hAnsi="仿宋" w:eastAsia="仿宋" w:cs="宋体"/>
          <w:kern w:val="0"/>
          <w:sz w:val="32"/>
          <w:szCs w:val="32"/>
        </w:rPr>
        <w:t>老师</w:t>
      </w:r>
      <w:r>
        <w:rPr>
          <w:rFonts w:hint="eastAsia" w:ascii="仿宋" w:hAnsi="仿宋" w:eastAsia="仿宋"/>
          <w:sz w:val="32"/>
          <w:szCs w:val="32"/>
        </w:rPr>
        <w:t>代表我院参加</w:t>
      </w:r>
      <w:r>
        <w:rPr>
          <w:rFonts w:hint="eastAsia" w:ascii="仿宋" w:hAnsi="仿宋" w:eastAsia="仿宋"/>
          <w:sz w:val="32"/>
          <w:szCs w:val="32"/>
          <w:lang w:eastAsia="zh-CN"/>
        </w:rPr>
        <w:t>学</w:t>
      </w:r>
      <w:r>
        <w:rPr>
          <w:rFonts w:hint="eastAsia" w:ascii="仿宋" w:hAnsi="仿宋" w:eastAsia="仿宋"/>
          <w:sz w:val="32"/>
          <w:szCs w:val="32"/>
        </w:rPr>
        <w:t>校教学新秀奖评选。</w:t>
      </w:r>
    </w:p>
    <w:p>
      <w:pPr>
        <w:spacing w:line="4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</w:t>
      </w:r>
      <w:r>
        <w:rPr>
          <w:rFonts w:hint="eastAsia" w:ascii="仿宋" w:hAnsi="仿宋" w:eastAsia="仿宋"/>
          <w:sz w:val="32"/>
          <w:szCs w:val="32"/>
        </w:rPr>
        <w:t>数学与计算机科学学院</w:t>
      </w:r>
    </w:p>
    <w:p>
      <w:pPr>
        <w:spacing w:line="400" w:lineRule="exact"/>
        <w:ind w:firstLine="640" w:firstLineChars="200"/>
        <w:rPr>
          <w:rFonts w:hint="eastAsia" w:ascii="宋体" w:hAnsi="宋体"/>
          <w:color w:val="000000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11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pacing w:line="420" w:lineRule="exact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  <w:u w:val="single"/>
        </w:rPr>
        <w:t xml:space="preserve">                                                                    </w:t>
      </w:r>
    </w:p>
    <w:p>
      <w:pPr>
        <w:spacing w:line="420" w:lineRule="exact"/>
        <w:ind w:firstLine="408" w:firstLineChars="146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抄送：教务处</w:t>
      </w:r>
    </w:p>
    <w:tbl>
      <w:tblPr>
        <w:tblStyle w:val="2"/>
        <w:tblW w:w="8414" w:type="dxa"/>
        <w:tblInd w:w="108" w:type="dxa"/>
        <w:tblBorders>
          <w:top w:val="none" w:color="auto" w:sz="0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14" w:type="dxa"/>
            <w:noWrap w:val="0"/>
            <w:vAlign w:val="top"/>
          </w:tcPr>
          <w:p>
            <w:pPr>
              <w:spacing w:line="420" w:lineRule="exact"/>
              <w:ind w:firstLine="280" w:firstLineChars="1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数学与计算机科学学院              201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年11月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日印发</w:t>
            </w:r>
          </w:p>
        </w:tc>
      </w:tr>
    </w:tbl>
    <w:p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B3316"/>
    <w:rsid w:val="1C3C13DA"/>
    <w:rsid w:val="2E2149B4"/>
    <w:rsid w:val="3B284133"/>
    <w:rsid w:val="3D134F78"/>
    <w:rsid w:val="51567CD6"/>
    <w:rsid w:val="60861281"/>
    <w:rsid w:val="7F3B33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